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3549F8" w:rsidP="004C5396">
            <w:pPr>
              <w:jc w:val="center"/>
              <w:rPr>
                <w:lang w:val="en-GB"/>
              </w:rPr>
            </w:pPr>
            <w:r w:rsidRPr="003549F8">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27CBC" w:rsidRDefault="00827CBC" w:rsidP="003549F8">
            <w:pP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Default="00827CBC" w:rsidP="004C5396">
            <w:pPr>
              <w:rPr>
                <w:b/>
                <w:lang w:val="en-GB"/>
              </w:rPr>
            </w:pPr>
            <w:r>
              <w:rPr>
                <w:b/>
                <w:lang w:val="en-GB"/>
              </w:rPr>
              <w:t>COURSE TITLE:</w:t>
            </w:r>
          </w:p>
          <w:p w:rsidR="00827CBC" w:rsidRDefault="00827CBC" w:rsidP="004C5396">
            <w:pPr>
              <w:rPr>
                <w:b/>
              </w:rPr>
            </w:pPr>
          </w:p>
        </w:tc>
        <w:tc>
          <w:tcPr>
            <w:tcW w:w="7040" w:type="dxa"/>
            <w:gridSpan w:val="5"/>
          </w:tcPr>
          <w:p w:rsidR="00827CBC" w:rsidRDefault="00827CBC" w:rsidP="004C5396">
            <w:r>
              <w:t>Professional Growth I</w:t>
            </w:r>
          </w:p>
        </w:tc>
      </w:tr>
      <w:tr w:rsidR="00827CBC" w:rsidTr="004C5396">
        <w:tc>
          <w:tcPr>
            <w:tcW w:w="2518" w:type="dxa"/>
          </w:tcPr>
          <w:p w:rsidR="00827CBC" w:rsidRDefault="00827CBC" w:rsidP="004C5396">
            <w:pPr>
              <w:rPr>
                <w:b/>
                <w:lang w:val="en-GB"/>
              </w:rPr>
            </w:pPr>
            <w:r>
              <w:rPr>
                <w:b/>
                <w:lang w:val="en-GB"/>
              </w:rPr>
              <w:t>CODE NO. :</w:t>
            </w:r>
          </w:p>
          <w:p w:rsidR="00827CBC" w:rsidRDefault="00827CBC" w:rsidP="004C5396">
            <w:pPr>
              <w:rPr>
                <w:b/>
              </w:rPr>
            </w:pPr>
          </w:p>
        </w:tc>
        <w:tc>
          <w:tcPr>
            <w:tcW w:w="3402" w:type="dxa"/>
            <w:gridSpan w:val="2"/>
          </w:tcPr>
          <w:p w:rsidR="00827CBC" w:rsidRDefault="003D7039" w:rsidP="004C5396">
            <w:smartTag w:uri="urn:schemas-microsoft-com:office:smarttags" w:element="stockticker">
              <w:r>
                <w:t>PNG</w:t>
              </w:r>
            </w:smartTag>
            <w:r>
              <w:t>117</w:t>
            </w:r>
          </w:p>
        </w:tc>
        <w:tc>
          <w:tcPr>
            <w:tcW w:w="1701" w:type="dxa"/>
          </w:tcPr>
          <w:p w:rsidR="00827CBC" w:rsidRDefault="00827CBC" w:rsidP="004C5396">
            <w:pPr>
              <w:rPr>
                <w:b/>
              </w:rPr>
            </w:pPr>
            <w:r>
              <w:rPr>
                <w:b/>
                <w:lang w:val="en-GB"/>
              </w:rPr>
              <w:t>SEMESTER:</w:t>
            </w:r>
          </w:p>
        </w:tc>
        <w:tc>
          <w:tcPr>
            <w:tcW w:w="1937" w:type="dxa"/>
            <w:gridSpan w:val="2"/>
          </w:tcPr>
          <w:p w:rsidR="00827CBC" w:rsidRDefault="00827CBC" w:rsidP="004C5396">
            <w:r>
              <w:t>1</w:t>
            </w:r>
          </w:p>
        </w:tc>
      </w:tr>
      <w:tr w:rsidR="00827CBC" w:rsidTr="004C5396">
        <w:trPr>
          <w:cantSplit/>
        </w:trPr>
        <w:tc>
          <w:tcPr>
            <w:tcW w:w="2518" w:type="dxa"/>
          </w:tcPr>
          <w:p w:rsidR="00827CBC" w:rsidRDefault="00827CBC" w:rsidP="004C5396">
            <w:pPr>
              <w:rPr>
                <w:b/>
                <w:lang w:val="en-GB"/>
              </w:rPr>
            </w:pPr>
            <w:r>
              <w:rPr>
                <w:b/>
                <w:lang w:val="en-GB"/>
              </w:rPr>
              <w:t>PROGRAM:</w:t>
            </w:r>
          </w:p>
          <w:p w:rsidR="00827CBC" w:rsidRDefault="00827CBC" w:rsidP="004C5396"/>
        </w:tc>
        <w:tc>
          <w:tcPr>
            <w:tcW w:w="7040" w:type="dxa"/>
            <w:gridSpan w:val="5"/>
          </w:tcPr>
          <w:p w:rsidR="00827CBC" w:rsidRDefault="00827CBC" w:rsidP="004C5396">
            <w:r>
              <w:t>Practical Nursing</w:t>
            </w:r>
          </w:p>
        </w:tc>
      </w:tr>
      <w:tr w:rsidR="00827CBC" w:rsidTr="004C5396">
        <w:trPr>
          <w:cantSplit/>
        </w:trPr>
        <w:tc>
          <w:tcPr>
            <w:tcW w:w="2518" w:type="dxa"/>
          </w:tcPr>
          <w:p w:rsidR="00827CBC" w:rsidRDefault="00827CBC" w:rsidP="004C5396">
            <w:pPr>
              <w:rPr>
                <w:b/>
                <w:lang w:val="en-GB"/>
              </w:rPr>
            </w:pPr>
            <w:r>
              <w:rPr>
                <w:b/>
                <w:lang w:val="en-GB"/>
              </w:rPr>
              <w:t>AUTHOR:</w:t>
            </w:r>
          </w:p>
          <w:p w:rsidR="00827CBC" w:rsidRDefault="00827CBC" w:rsidP="004C5396"/>
        </w:tc>
        <w:tc>
          <w:tcPr>
            <w:tcW w:w="7040" w:type="dxa"/>
            <w:gridSpan w:val="5"/>
          </w:tcPr>
          <w:p w:rsidR="00827CBC" w:rsidRDefault="00827CBC" w:rsidP="004C5396">
            <w:r>
              <w:t>Northern Partners in Practical Nursing Education/</w:t>
            </w:r>
          </w:p>
          <w:p w:rsidR="00827CBC" w:rsidRDefault="00827CBC" w:rsidP="004C5396">
            <w:r>
              <w:t xml:space="preserve">Gwen DiAngelo, </w:t>
            </w:r>
            <w:smartTag w:uri="urn:schemas-microsoft-com:office:smarttags" w:element="PersonName">
              <w:r>
                <w:t>Donna Alexander</w:t>
              </w:r>
            </w:smartTag>
          </w:p>
          <w:p w:rsidR="00827CBC" w:rsidRDefault="00827CBC" w:rsidP="004C5396"/>
        </w:tc>
      </w:tr>
      <w:tr w:rsidR="00827CBC" w:rsidTr="004C5396">
        <w:tc>
          <w:tcPr>
            <w:tcW w:w="2518" w:type="dxa"/>
          </w:tcPr>
          <w:p w:rsidR="00827CBC" w:rsidRDefault="00827CBC" w:rsidP="004C5396">
            <w:pPr>
              <w:rPr>
                <w:b/>
                <w:lang w:val="en-GB"/>
              </w:rPr>
            </w:pPr>
            <w:r>
              <w:rPr>
                <w:b/>
                <w:lang w:val="en-GB"/>
              </w:rPr>
              <w:t>DATE:</w:t>
            </w:r>
          </w:p>
          <w:p w:rsidR="00827CBC" w:rsidRDefault="00827CBC" w:rsidP="004C5396"/>
        </w:tc>
        <w:tc>
          <w:tcPr>
            <w:tcW w:w="1460" w:type="dxa"/>
          </w:tcPr>
          <w:p w:rsidR="00827CBC" w:rsidRDefault="00B90D96" w:rsidP="004C5396">
            <w:r>
              <w:t>Jan</w:t>
            </w:r>
            <w:r w:rsidR="00827CBC">
              <w:t>/</w:t>
            </w:r>
            <w:r w:rsidR="00032D37">
              <w:t>1</w:t>
            </w:r>
            <w:r w:rsidR="000246A9">
              <w:t>1</w:t>
            </w:r>
          </w:p>
        </w:tc>
        <w:tc>
          <w:tcPr>
            <w:tcW w:w="3690" w:type="dxa"/>
            <w:gridSpan w:val="3"/>
          </w:tcPr>
          <w:p w:rsidR="00827CBC" w:rsidRDefault="00827CBC" w:rsidP="004C5396">
            <w:r>
              <w:rPr>
                <w:b/>
                <w:lang w:val="en-GB"/>
              </w:rPr>
              <w:t>PREVIOUS OUTLINE DATED:</w:t>
            </w:r>
          </w:p>
        </w:tc>
        <w:tc>
          <w:tcPr>
            <w:tcW w:w="1890" w:type="dxa"/>
          </w:tcPr>
          <w:p w:rsidR="00827CBC" w:rsidRDefault="00827CBC" w:rsidP="004C5396">
            <w:r>
              <w:t>Sept/</w:t>
            </w:r>
            <w:r w:rsidR="000246A9">
              <w:t>1</w:t>
            </w:r>
            <w:r w:rsidR="00B90D96">
              <w:t>1</w:t>
            </w:r>
          </w:p>
        </w:tc>
      </w:tr>
      <w:tr w:rsidR="00827CBC" w:rsidTr="004C5396">
        <w:trPr>
          <w:cantSplit/>
        </w:trPr>
        <w:tc>
          <w:tcPr>
            <w:tcW w:w="2518" w:type="dxa"/>
          </w:tcPr>
          <w:p w:rsidR="00827CBC" w:rsidRDefault="00827CBC" w:rsidP="004C5396">
            <w:r>
              <w:rPr>
                <w:b/>
                <w:lang w:val="en-GB"/>
              </w:rPr>
              <w:t>APPROVED:</w:t>
            </w:r>
          </w:p>
        </w:tc>
        <w:tc>
          <w:tcPr>
            <w:tcW w:w="5150" w:type="dxa"/>
            <w:gridSpan w:val="4"/>
          </w:tcPr>
          <w:p w:rsidR="00827CBC" w:rsidRDefault="000D53E2" w:rsidP="004C5396">
            <w:pPr>
              <w:jc w:val="center"/>
            </w:pPr>
            <w:r>
              <w:t>“Marilyn King”</w:t>
            </w:r>
          </w:p>
          <w:p w:rsidR="00827CBC" w:rsidRDefault="00827CBC" w:rsidP="004C5396">
            <w:pPr>
              <w:jc w:val="center"/>
            </w:pPr>
          </w:p>
        </w:tc>
        <w:tc>
          <w:tcPr>
            <w:tcW w:w="1890" w:type="dxa"/>
          </w:tcPr>
          <w:p w:rsidR="00827CBC" w:rsidRDefault="000D53E2" w:rsidP="004C5396">
            <w:r>
              <w:t>July 2011</w:t>
            </w:r>
          </w:p>
        </w:tc>
      </w:tr>
      <w:tr w:rsidR="00827CBC" w:rsidTr="004C5396">
        <w:trPr>
          <w:cantSplit/>
        </w:trPr>
        <w:tc>
          <w:tcPr>
            <w:tcW w:w="2518" w:type="dxa"/>
          </w:tcPr>
          <w:p w:rsidR="00827CBC" w:rsidRDefault="00827CBC" w:rsidP="004C5396"/>
        </w:tc>
        <w:tc>
          <w:tcPr>
            <w:tcW w:w="5150" w:type="dxa"/>
            <w:gridSpan w:val="4"/>
          </w:tcPr>
          <w:p w:rsidR="00827CBC" w:rsidRDefault="00827CBC" w:rsidP="004C5396">
            <w:pPr>
              <w:pStyle w:val="Heading2"/>
              <w:rPr>
                <w:rFonts w:ascii="Arial" w:hAnsi="Arial"/>
                <w:lang w:val="en-US"/>
              </w:rPr>
            </w:pPr>
            <w:r>
              <w:rPr>
                <w:rFonts w:ascii="Arial" w:hAnsi="Arial"/>
                <w:lang w:val="en-US"/>
              </w:rPr>
              <w:t>__________________________________</w:t>
            </w:r>
          </w:p>
          <w:p w:rsidR="00827CBC" w:rsidRDefault="00827CBC" w:rsidP="004C5396">
            <w:pPr>
              <w:pStyle w:val="Heading2"/>
              <w:rPr>
                <w:rFonts w:ascii="Arial" w:hAnsi="Arial"/>
                <w:lang w:val="en-US"/>
              </w:rPr>
            </w:pPr>
            <w:r>
              <w:rPr>
                <w:rFonts w:ascii="Arial" w:hAnsi="Arial"/>
                <w:lang w:val="en-US"/>
              </w:rPr>
              <w:t>CHAIR, HEALTH PROGRAMS</w:t>
            </w:r>
          </w:p>
          <w:p w:rsidR="00827CBC" w:rsidRPr="00826A86" w:rsidRDefault="00827CBC" w:rsidP="004C5396">
            <w:pPr>
              <w:rPr>
                <w:lang w:val="en-US"/>
              </w:rPr>
            </w:pPr>
          </w:p>
        </w:tc>
        <w:tc>
          <w:tcPr>
            <w:tcW w:w="1890" w:type="dxa"/>
          </w:tcPr>
          <w:p w:rsidR="00827CBC" w:rsidRDefault="00827CBC" w:rsidP="004C5396">
            <w:pPr>
              <w:rPr>
                <w:b/>
                <w:lang w:val="en-GB"/>
              </w:rPr>
            </w:pPr>
            <w:r>
              <w:rPr>
                <w:b/>
                <w:lang w:val="en-GB"/>
              </w:rPr>
              <w:t>____________</w:t>
            </w:r>
          </w:p>
          <w:p w:rsidR="00827CBC" w:rsidRDefault="00827CBC" w:rsidP="004C5396">
            <w:pPr>
              <w:jc w:val="center"/>
            </w:pPr>
            <w:r>
              <w:rPr>
                <w:b/>
                <w:lang w:val="en-GB"/>
              </w:rPr>
              <w:t>DATE</w:t>
            </w:r>
          </w:p>
        </w:tc>
      </w:tr>
      <w:tr w:rsidR="00827CBC" w:rsidTr="004C5396">
        <w:trPr>
          <w:cantSplit/>
        </w:trPr>
        <w:tc>
          <w:tcPr>
            <w:tcW w:w="2518" w:type="dxa"/>
          </w:tcPr>
          <w:p w:rsidR="00827CBC" w:rsidRDefault="00827CBC" w:rsidP="004C5396">
            <w:pPr>
              <w:rPr>
                <w:b/>
                <w:lang w:val="en-GB"/>
              </w:rPr>
            </w:pPr>
            <w:r>
              <w:rPr>
                <w:b/>
                <w:lang w:val="en-GB"/>
              </w:rPr>
              <w:t>TOTAL CREDITS:</w:t>
            </w:r>
          </w:p>
          <w:p w:rsidR="00827CBC" w:rsidRDefault="00827CBC" w:rsidP="004C5396"/>
        </w:tc>
        <w:tc>
          <w:tcPr>
            <w:tcW w:w="7040" w:type="dxa"/>
            <w:gridSpan w:val="5"/>
          </w:tcPr>
          <w:p w:rsidR="00827CBC" w:rsidRDefault="00827CBC" w:rsidP="004C5396">
            <w:r>
              <w:t>3</w:t>
            </w:r>
          </w:p>
        </w:tc>
      </w:tr>
      <w:tr w:rsidR="00827CBC" w:rsidTr="004C5396">
        <w:trPr>
          <w:cantSplit/>
        </w:trPr>
        <w:tc>
          <w:tcPr>
            <w:tcW w:w="2518" w:type="dxa"/>
          </w:tcPr>
          <w:p w:rsidR="00827CBC" w:rsidRDefault="00827CBC" w:rsidP="004C5396">
            <w:pPr>
              <w:rPr>
                <w:b/>
                <w:lang w:val="en-GB"/>
              </w:rPr>
            </w:pPr>
            <w:r>
              <w:rPr>
                <w:b/>
                <w:lang w:val="en-GB"/>
              </w:rPr>
              <w:t>PREREQUISITE(S):</w:t>
            </w:r>
          </w:p>
          <w:p w:rsidR="00827CBC" w:rsidRDefault="00827CBC" w:rsidP="004C5396"/>
        </w:tc>
        <w:tc>
          <w:tcPr>
            <w:tcW w:w="7040" w:type="dxa"/>
            <w:gridSpan w:val="5"/>
          </w:tcPr>
          <w:p w:rsidR="00827CBC" w:rsidRDefault="00827CBC" w:rsidP="004C5396">
            <w:r>
              <w:t>None</w:t>
            </w:r>
          </w:p>
        </w:tc>
      </w:tr>
      <w:tr w:rsidR="00827CBC" w:rsidTr="004C5396">
        <w:trPr>
          <w:cantSplit/>
        </w:trPr>
        <w:tc>
          <w:tcPr>
            <w:tcW w:w="2518" w:type="dxa"/>
          </w:tcPr>
          <w:p w:rsidR="00827CBC" w:rsidRDefault="00827CBC" w:rsidP="004C5396">
            <w:pPr>
              <w:rPr>
                <w:b/>
                <w:lang w:val="en-GB"/>
              </w:rPr>
            </w:pPr>
            <w:r>
              <w:rPr>
                <w:b/>
                <w:lang w:val="en-GB"/>
              </w:rPr>
              <w:t>HOURS/WEEK:</w:t>
            </w:r>
          </w:p>
          <w:p w:rsidR="00827CBC" w:rsidRDefault="00827CBC" w:rsidP="004C5396"/>
        </w:tc>
        <w:tc>
          <w:tcPr>
            <w:tcW w:w="7040" w:type="dxa"/>
            <w:gridSpan w:val="5"/>
          </w:tcPr>
          <w:p w:rsidR="00827CBC" w:rsidRDefault="00827CBC" w:rsidP="004C5396">
            <w:r>
              <w:t>3</w:t>
            </w:r>
          </w:p>
        </w:tc>
      </w:tr>
      <w:tr w:rsidR="00827CBC" w:rsidTr="004C5396">
        <w:trPr>
          <w:cantSplit/>
        </w:trPr>
        <w:tc>
          <w:tcPr>
            <w:tcW w:w="9558" w:type="dxa"/>
            <w:gridSpan w:val="6"/>
          </w:tcPr>
          <w:p w:rsidR="00827CBC" w:rsidRDefault="000246A9" w:rsidP="003549F8">
            <w:pPr>
              <w:pStyle w:val="Heading2"/>
              <w:tabs>
                <w:tab w:val="center" w:pos="4560"/>
              </w:tabs>
              <w:rPr>
                <w:rFonts w:ascii="Arial" w:hAnsi="Arial"/>
              </w:rPr>
            </w:pPr>
            <w:r>
              <w:rPr>
                <w:rFonts w:ascii="Arial" w:hAnsi="Arial"/>
              </w:rPr>
              <w:t>Copyright © 2011</w:t>
            </w:r>
            <w:r w:rsidR="00827CBC">
              <w:rPr>
                <w:rFonts w:ascii="Arial" w:hAnsi="Arial"/>
              </w:rPr>
              <w:t xml:space="preserve"> </w:t>
            </w:r>
            <w:proofErr w:type="gramStart"/>
            <w:r w:rsidR="00827CBC">
              <w:rPr>
                <w:rFonts w:ascii="Arial" w:hAnsi="Arial"/>
              </w:rPr>
              <w:t>The</w:t>
            </w:r>
            <w:proofErr w:type="gramEnd"/>
            <w:r w:rsidR="00827CBC">
              <w:rPr>
                <w:rFonts w:ascii="Arial" w:hAnsi="Arial"/>
              </w:rPr>
              <w:t xml:space="preserve"> Sault College of Applied Arts &amp; Technology</w:t>
            </w:r>
          </w:p>
          <w:p w:rsidR="00827CBC" w:rsidRDefault="00827CBC" w:rsidP="004C5396">
            <w:pPr>
              <w:tabs>
                <w:tab w:val="center" w:pos="4560"/>
              </w:tabs>
              <w:jc w:val="center"/>
              <w:rPr>
                <w:i/>
                <w:lang w:val="en-GB"/>
              </w:rPr>
            </w:pPr>
            <w:r>
              <w:rPr>
                <w:i/>
                <w:lang w:val="en-GB"/>
              </w:rPr>
              <w:t>Reproduction of this document by any means, in whole or in part, without prior</w:t>
            </w:r>
          </w:p>
          <w:p w:rsidR="00827CBC" w:rsidRDefault="00827CBC" w:rsidP="004C53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b w:val="0"/>
              </w:rPr>
            </w:pPr>
            <w:r>
              <w:rPr>
                <w:rFonts w:ascii="Arial" w:hAnsi="Arial"/>
                <w:b w:val="0"/>
                <w:i/>
              </w:rPr>
              <w:t>For additional information, please contact the Chair, Health Programs,</w:t>
            </w:r>
          </w:p>
        </w:tc>
      </w:tr>
      <w:tr w:rsidR="00827CBC" w:rsidTr="004C5396">
        <w:trPr>
          <w:cantSplit/>
        </w:trPr>
        <w:tc>
          <w:tcPr>
            <w:tcW w:w="9558" w:type="dxa"/>
            <w:gridSpan w:val="6"/>
          </w:tcPr>
          <w:p w:rsidR="00827CBC" w:rsidRDefault="00827CBC" w:rsidP="004C5396">
            <w:pPr>
              <w:tabs>
                <w:tab w:val="center" w:pos="4560"/>
              </w:tabs>
              <w:jc w:val="center"/>
              <w:rPr>
                <w:i/>
                <w:lang w:val="en-GB"/>
              </w:rPr>
            </w:pPr>
            <w:r>
              <w:rPr>
                <w:i/>
                <w:lang w:val="en-GB"/>
              </w:rPr>
              <w:t>School of Health and Community Services</w:t>
            </w:r>
          </w:p>
        </w:tc>
      </w:tr>
      <w:tr w:rsidR="00827CBC" w:rsidTr="004C5396">
        <w:trPr>
          <w:cantSplit/>
        </w:trPr>
        <w:tc>
          <w:tcPr>
            <w:tcW w:w="9558" w:type="dxa"/>
            <w:gridSpan w:val="6"/>
          </w:tcPr>
          <w:p w:rsidR="00827CBC" w:rsidRDefault="00827CBC" w:rsidP="004C5396">
            <w:pPr>
              <w:tabs>
                <w:tab w:val="center" w:pos="4560"/>
              </w:tabs>
              <w:jc w:val="cente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Ext. 2689</w:t>
            </w:r>
          </w:p>
        </w:tc>
      </w:tr>
      <w:tr w:rsidR="00827CBC" w:rsidTr="004C5396">
        <w:trPr>
          <w:cantSplit/>
        </w:trPr>
        <w:tc>
          <w:tcPr>
            <w:tcW w:w="9558" w:type="dxa"/>
            <w:gridSpan w:val="6"/>
          </w:tcPr>
          <w:p w:rsidR="00827CBC" w:rsidRDefault="00827CBC" w:rsidP="004C5396">
            <w:pPr>
              <w:tabs>
                <w:tab w:val="center" w:pos="4560"/>
              </w:tabs>
              <w:jc w:val="center"/>
              <w:rPr>
                <w:i/>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research to inform practice (</w:t>
            </w:r>
            <w:proofErr w:type="spellStart"/>
            <w:r w:rsidRPr="00053756">
              <w:rPr>
                <w:sz w:val="22"/>
                <w:szCs w:val="22"/>
              </w:rPr>
              <w:t>ie</w:t>
            </w:r>
            <w:proofErr w:type="spellEnd"/>
            <w:r w:rsidRPr="00053756">
              <w:rPr>
                <w:sz w:val="22"/>
                <w:szCs w:val="22"/>
              </w:rPr>
              <w:t xml:space="preserve"> best practice guidelines)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proofErr w:type="spellStart"/>
            <w:smartTag w:uri="urn:schemas-microsoft-com:office:smarttags" w:element="stockticker">
              <w:r w:rsidRPr="00053756">
                <w:rPr>
                  <w:rFonts w:cs="Arial"/>
                  <w:sz w:val="22"/>
                  <w:szCs w:val="22"/>
                </w:rPr>
                <w:t>LMS</w:t>
              </w:r>
            </w:smartTag>
            <w:proofErr w:type="spellEnd"/>
            <w:r w:rsidRPr="00053756">
              <w:rPr>
                <w:rFonts w:cs="Arial"/>
                <w:sz w:val="22"/>
                <w:szCs w:val="22"/>
              </w:rPr>
              <w:t>.</w:t>
            </w:r>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1.</w:t>
            </w:r>
          </w:p>
        </w:tc>
        <w:tc>
          <w:tcPr>
            <w:tcW w:w="8136" w:type="dxa"/>
          </w:tcPr>
          <w:p w:rsidR="00827CBC" w:rsidRPr="00AB173D" w:rsidRDefault="004C5396" w:rsidP="004C5396">
            <w:pPr>
              <w:rPr>
                <w:sz w:val="22"/>
              </w:rPr>
            </w:pPr>
            <w:r>
              <w:rPr>
                <w:sz w:val="22"/>
              </w:rPr>
              <w:t>Personal Learning Styles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2.</w:t>
            </w:r>
          </w:p>
        </w:tc>
        <w:tc>
          <w:tcPr>
            <w:tcW w:w="8136" w:type="dxa"/>
          </w:tcPr>
          <w:p w:rsidR="00827CBC" w:rsidRPr="00AB173D" w:rsidRDefault="004C5396" w:rsidP="004C5396">
            <w:pPr>
              <w:rPr>
                <w:sz w:val="22"/>
              </w:rPr>
            </w:pPr>
            <w:r>
              <w:rPr>
                <w:sz w:val="22"/>
              </w:rPr>
              <w:t>Evolution of Nursing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3.</w:t>
            </w:r>
          </w:p>
        </w:tc>
        <w:tc>
          <w:tcPr>
            <w:tcW w:w="8136" w:type="dxa"/>
          </w:tcPr>
          <w:p w:rsidR="00827CBC" w:rsidRPr="00AB173D" w:rsidRDefault="004C5396" w:rsidP="004C5396">
            <w:pPr>
              <w:rPr>
                <w:sz w:val="22"/>
              </w:rPr>
            </w:pPr>
            <w:r>
              <w:rPr>
                <w:sz w:val="22"/>
              </w:rPr>
              <w:t>Nursing Theories/Theorists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4.</w:t>
            </w:r>
          </w:p>
        </w:tc>
        <w:tc>
          <w:tcPr>
            <w:tcW w:w="8136" w:type="dxa"/>
          </w:tcPr>
          <w:p w:rsidR="00827CBC" w:rsidRPr="00AB173D" w:rsidRDefault="004C5396" w:rsidP="004C5396">
            <w:pPr>
              <w:rPr>
                <w:sz w:val="22"/>
              </w:rPr>
            </w:pPr>
            <w:r>
              <w:rPr>
                <w:sz w:val="22"/>
              </w:rPr>
              <w:t>Professional Organizations</w:t>
            </w:r>
            <w:r w:rsidR="009D0101">
              <w:rPr>
                <w:sz w:val="22"/>
              </w:rPr>
              <w:t>/Standards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5.</w:t>
            </w:r>
          </w:p>
        </w:tc>
        <w:tc>
          <w:tcPr>
            <w:tcW w:w="8136" w:type="dxa"/>
          </w:tcPr>
          <w:p w:rsidR="00827CBC" w:rsidRPr="00AB173D" w:rsidRDefault="004C5396" w:rsidP="004C5396">
            <w:pPr>
              <w:rPr>
                <w:sz w:val="22"/>
              </w:rPr>
            </w:pPr>
            <w:r>
              <w:rPr>
                <w:sz w:val="22"/>
              </w:rPr>
              <w:t>Research</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6.</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Pr>
                <w:sz w:val="22"/>
                <w:szCs w:val="22"/>
              </w:rPr>
              <w:t>7</w:t>
            </w:r>
            <w:r w:rsidRPr="00AB173D">
              <w:rPr>
                <w:sz w:val="22"/>
                <w:szCs w:val="22"/>
              </w:rPr>
              <w:t>.</w:t>
            </w:r>
          </w:p>
        </w:tc>
        <w:tc>
          <w:tcPr>
            <w:tcW w:w="8136" w:type="dxa"/>
          </w:tcPr>
          <w:p w:rsidR="00827CBC" w:rsidRPr="00AB173D" w:rsidRDefault="004C5396" w:rsidP="004C5396">
            <w:pPr>
              <w:rPr>
                <w:sz w:val="22"/>
              </w:rPr>
            </w:pPr>
            <w:r>
              <w:rPr>
                <w:sz w:val="22"/>
              </w:rPr>
              <w:t>Information Technology</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4C5396" w:rsidP="004C5396">
            <w:pPr>
              <w:rPr>
                <w:sz w:val="22"/>
              </w:rPr>
            </w:pPr>
            <w:r>
              <w:rPr>
                <w:sz w:val="22"/>
                <w:szCs w:val="22"/>
              </w:rPr>
              <w:t>8.</w:t>
            </w:r>
          </w:p>
        </w:tc>
        <w:tc>
          <w:tcPr>
            <w:tcW w:w="8136" w:type="dxa"/>
          </w:tcPr>
          <w:p w:rsidR="004C5396" w:rsidRDefault="004C5396" w:rsidP="004C5396">
            <w:pPr>
              <w:rPr>
                <w:sz w:val="22"/>
              </w:rPr>
            </w:pPr>
            <w:r>
              <w:rPr>
                <w:sz w:val="22"/>
              </w:rPr>
              <w:t>Role of the Nurse</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9D0101" w:rsidP="004C5396">
            <w:pPr>
              <w:rPr>
                <w:sz w:val="22"/>
              </w:rPr>
            </w:pPr>
            <w:r>
              <w:rPr>
                <w:sz w:val="22"/>
                <w:szCs w:val="22"/>
              </w:rPr>
              <w:t xml:space="preserve">9. </w:t>
            </w:r>
          </w:p>
        </w:tc>
        <w:tc>
          <w:tcPr>
            <w:tcW w:w="8136" w:type="dxa"/>
          </w:tcPr>
          <w:p w:rsidR="009D0101" w:rsidRDefault="009D0101" w:rsidP="004C5396">
            <w:pPr>
              <w:rPr>
                <w:sz w:val="22"/>
              </w:rPr>
            </w:pPr>
            <w:r>
              <w:rPr>
                <w:sz w:val="22"/>
              </w:rPr>
              <w:t>Philosophy</w:t>
            </w:r>
          </w:p>
        </w:tc>
      </w:tr>
    </w:tbl>
    <w:p w:rsidR="00602C63" w:rsidRDefault="00602C63" w:rsidP="00827CBC"/>
    <w:p w:rsidR="00827CBC" w:rsidRDefault="00827CBC" w:rsidP="00827CBC"/>
    <w:tbl>
      <w:tblPr>
        <w:tblW w:w="9828" w:type="dxa"/>
        <w:tblLayout w:type="fixed"/>
        <w:tblLook w:val="000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0246A9" w:rsidRPr="000246A9" w:rsidRDefault="000246A9" w:rsidP="000246A9">
            <w:pPr>
              <w:rPr>
                <w:sz w:val="22"/>
              </w:rPr>
            </w:pPr>
            <w:proofErr w:type="spellStart"/>
            <w:r w:rsidRPr="000246A9">
              <w:rPr>
                <w:sz w:val="22"/>
                <w:szCs w:val="22"/>
              </w:rPr>
              <w:t>Kozier</w:t>
            </w:r>
            <w:proofErr w:type="spellEnd"/>
            <w:r w:rsidRPr="000246A9">
              <w:rPr>
                <w:sz w:val="22"/>
                <w:szCs w:val="22"/>
              </w:rPr>
              <w:t xml:space="preserve">, B. [et al.]. (2010). </w:t>
            </w:r>
            <w:r w:rsidRPr="00DF468E">
              <w:rPr>
                <w:i/>
                <w:sz w:val="22"/>
                <w:szCs w:val="22"/>
              </w:rPr>
              <w:t>Fundamentals of Canadian nursing</w:t>
            </w:r>
            <w:r w:rsidR="00DF468E">
              <w:rPr>
                <w:sz w:val="22"/>
                <w:szCs w:val="22"/>
              </w:rPr>
              <w:t>.</w:t>
            </w:r>
            <w:r w:rsidRPr="000246A9">
              <w:rPr>
                <w:sz w:val="22"/>
                <w:szCs w:val="22"/>
              </w:rPr>
              <w:t xml:space="preserve"> (2nd Canadian ed.).  </w:t>
            </w:r>
          </w:p>
          <w:p w:rsidR="00827CBC" w:rsidRPr="00B073F0" w:rsidRDefault="000246A9" w:rsidP="000246A9">
            <w:pPr>
              <w:rPr>
                <w:sz w:val="22"/>
              </w:rPr>
            </w:pPr>
            <w:r w:rsidRPr="000246A9">
              <w:rPr>
                <w:sz w:val="22"/>
                <w:szCs w:val="22"/>
              </w:rPr>
              <w:t xml:space="preserve">            Pearson Canada</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Pr="006C4431" w:rsidRDefault="005E3A70" w:rsidP="004C5396">
            <w:pPr>
              <w:rPr>
                <w:sz w:val="22"/>
              </w:rPr>
            </w:pPr>
          </w:p>
          <w:p w:rsidR="006C4431" w:rsidRPr="00AB173D" w:rsidRDefault="006C4431" w:rsidP="004C5396">
            <w:pPr>
              <w:rPr>
                <w:b/>
                <w:sz w:val="22"/>
              </w:rPr>
            </w:pPr>
            <w:r w:rsidRPr="006C4431">
              <w:rPr>
                <w:sz w:val="22"/>
              </w:rPr>
              <w:t xml:space="preserve">Sault College </w:t>
            </w:r>
            <w:proofErr w:type="spellStart"/>
            <w:r w:rsidRPr="006C4431">
              <w:rPr>
                <w:sz w:val="22"/>
              </w:rPr>
              <w:t>LMS</w:t>
            </w:r>
            <w:proofErr w:type="spellEnd"/>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0246A9" w:rsidRPr="000246A9" w:rsidRDefault="000C60B6" w:rsidP="000246A9">
            <w:pPr>
              <w:rPr>
                <w:sz w:val="22"/>
              </w:rPr>
            </w:pPr>
            <w:r>
              <w:rPr>
                <w:sz w:val="22"/>
                <w:szCs w:val="22"/>
              </w:rPr>
              <w:t xml:space="preserve">      </w:t>
            </w:r>
            <w:r w:rsidR="000B62F2">
              <w:rPr>
                <w:sz w:val="22"/>
                <w:szCs w:val="22"/>
              </w:rPr>
              <w:t xml:space="preserve">   </w:t>
            </w:r>
            <w:r w:rsidR="00533A7C">
              <w:rPr>
                <w:sz w:val="22"/>
                <w:szCs w:val="22"/>
              </w:rPr>
              <w:t>Mid-term Test    (35</w:t>
            </w:r>
            <w:r w:rsidR="00170A05">
              <w:rPr>
                <w:sz w:val="22"/>
                <w:szCs w:val="22"/>
              </w:rPr>
              <w:t>%)</w:t>
            </w:r>
            <w:r w:rsidR="000246A9" w:rsidRPr="000246A9">
              <w:rPr>
                <w:sz w:val="22"/>
                <w:szCs w:val="22"/>
              </w:rPr>
              <w:t xml:space="preserve">                                             </w:t>
            </w:r>
            <w:r w:rsidR="00170A05">
              <w:rPr>
                <w:sz w:val="22"/>
                <w:szCs w:val="22"/>
              </w:rPr>
              <w:t xml:space="preserve">                            </w:t>
            </w:r>
          </w:p>
          <w:p w:rsidR="000246A9" w:rsidRPr="000246A9" w:rsidRDefault="00533A7C" w:rsidP="000246A9">
            <w:pPr>
              <w:rPr>
                <w:sz w:val="22"/>
              </w:rPr>
            </w:pPr>
            <w:r>
              <w:rPr>
                <w:sz w:val="22"/>
                <w:szCs w:val="22"/>
              </w:rPr>
              <w:t xml:space="preserve">        </w:t>
            </w:r>
            <w:r w:rsidR="000246A9" w:rsidRPr="000246A9">
              <w:rPr>
                <w:sz w:val="22"/>
                <w:szCs w:val="22"/>
              </w:rPr>
              <w:t xml:space="preserve"> Assignments (2)                                  </w:t>
            </w:r>
          </w:p>
          <w:p w:rsidR="000246A9" w:rsidRPr="000246A9" w:rsidRDefault="000246A9" w:rsidP="000246A9">
            <w:pPr>
              <w:rPr>
                <w:sz w:val="22"/>
              </w:rPr>
            </w:pPr>
            <w:r w:rsidRPr="000246A9">
              <w:rPr>
                <w:sz w:val="22"/>
                <w:szCs w:val="22"/>
              </w:rPr>
              <w:t xml:space="preserve">                #1 Personal Learning Style/Guided Refl</w:t>
            </w:r>
            <w:r w:rsidR="00170A05">
              <w:rPr>
                <w:sz w:val="22"/>
                <w:szCs w:val="22"/>
              </w:rPr>
              <w:t>ection    (</w:t>
            </w:r>
            <w:r w:rsidR="00533A7C">
              <w:rPr>
                <w:sz w:val="22"/>
                <w:szCs w:val="22"/>
              </w:rPr>
              <w:t>15</w:t>
            </w:r>
            <w:r w:rsidRPr="000246A9">
              <w:rPr>
                <w:sz w:val="22"/>
                <w:szCs w:val="22"/>
              </w:rPr>
              <w:t>%</w:t>
            </w:r>
            <w:r w:rsidR="00170A05">
              <w:rPr>
                <w:sz w:val="22"/>
                <w:szCs w:val="22"/>
              </w:rPr>
              <w:t>)</w:t>
            </w:r>
          </w:p>
          <w:p w:rsidR="000246A9" w:rsidRPr="000246A9" w:rsidRDefault="000246A9" w:rsidP="000246A9">
            <w:pPr>
              <w:rPr>
                <w:sz w:val="22"/>
              </w:rPr>
            </w:pPr>
            <w:r w:rsidRPr="000246A9">
              <w:rPr>
                <w:sz w:val="22"/>
                <w:szCs w:val="22"/>
              </w:rPr>
              <w:t xml:space="preserve">                #2 Information Technology/</w:t>
            </w:r>
            <w:r w:rsidR="00170A05">
              <w:rPr>
                <w:sz w:val="22"/>
                <w:szCs w:val="22"/>
              </w:rPr>
              <w:t>Article Review    (</w:t>
            </w:r>
            <w:r w:rsidR="00533A7C">
              <w:rPr>
                <w:sz w:val="22"/>
                <w:szCs w:val="22"/>
              </w:rPr>
              <w:t>15</w:t>
            </w:r>
            <w:r w:rsidRPr="000246A9">
              <w:rPr>
                <w:sz w:val="22"/>
                <w:szCs w:val="22"/>
              </w:rPr>
              <w:t>%</w:t>
            </w:r>
            <w:r w:rsidR="00170A05">
              <w:rPr>
                <w:sz w:val="22"/>
                <w:szCs w:val="22"/>
              </w:rPr>
              <w:t>)</w:t>
            </w:r>
          </w:p>
          <w:p w:rsidR="009E1476" w:rsidRPr="00AD0C0E" w:rsidRDefault="00533A7C" w:rsidP="000246A9">
            <w:pPr>
              <w:rPr>
                <w:sz w:val="22"/>
              </w:rPr>
            </w:pPr>
            <w:r>
              <w:rPr>
                <w:sz w:val="22"/>
                <w:szCs w:val="22"/>
              </w:rPr>
              <w:t xml:space="preserve">          Final Test</w:t>
            </w:r>
            <w:r w:rsidR="00170A05">
              <w:rPr>
                <w:sz w:val="22"/>
                <w:szCs w:val="22"/>
              </w:rPr>
              <w:t xml:space="preserve">    (</w:t>
            </w:r>
            <w:r>
              <w:rPr>
                <w:sz w:val="22"/>
                <w:szCs w:val="22"/>
              </w:rPr>
              <w:t>35</w:t>
            </w:r>
            <w:r w:rsidR="000246A9" w:rsidRPr="000246A9">
              <w:rPr>
                <w:sz w:val="22"/>
                <w:szCs w:val="22"/>
              </w:rPr>
              <w:t>%</w:t>
            </w:r>
            <w:r w:rsidR="00170A05">
              <w:rPr>
                <w:sz w:val="22"/>
                <w:szCs w:val="22"/>
              </w:rPr>
              <w:t>)</w:t>
            </w:r>
          </w:p>
          <w:p w:rsidR="009E1476" w:rsidRPr="00AB173D" w:rsidRDefault="009E1476" w:rsidP="009E1476">
            <w:pPr>
              <w:rPr>
                <w:sz w:val="22"/>
              </w:rPr>
            </w:pPr>
            <w:r>
              <w:rPr>
                <w:bCs/>
                <w:sz w:val="22"/>
                <w:szCs w:val="22"/>
              </w:rPr>
              <w:t xml:space="preserve">      </w:t>
            </w:r>
            <w:r w:rsidRPr="003E2AF6">
              <w:rPr>
                <w:bCs/>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5046BD">
              <w:rPr>
                <w:sz w:val="22"/>
                <w:szCs w:val="22"/>
              </w:rPr>
              <w:t xml:space="preserve">e are </w:t>
            </w:r>
            <w:r w:rsidR="000D7525">
              <w:rPr>
                <w:sz w:val="22"/>
                <w:szCs w:val="22"/>
              </w:rPr>
              <w:t xml:space="preserve">no </w:t>
            </w:r>
            <w:r w:rsidR="00F3038C">
              <w:rPr>
                <w:sz w:val="22"/>
                <w:szCs w:val="22"/>
              </w:rPr>
              <w:t xml:space="preserve">rewrites for assignments and </w:t>
            </w:r>
            <w:r w:rsidR="00F356A9">
              <w:rPr>
                <w:sz w:val="22"/>
                <w:szCs w:val="22"/>
              </w:rPr>
              <w:t xml:space="preserve">there are </w:t>
            </w:r>
            <w:r w:rsidR="00F3038C">
              <w:rPr>
                <w:sz w:val="22"/>
                <w:szCs w:val="22"/>
              </w:rPr>
              <w:t xml:space="preserve">no </w:t>
            </w:r>
            <w:r w:rsidR="000D7525">
              <w:rPr>
                <w:sz w:val="22"/>
                <w:szCs w:val="22"/>
              </w:rPr>
              <w:t xml:space="preserve">supplemental </w:t>
            </w:r>
            <w:r w:rsidR="00F3038C">
              <w:rPr>
                <w:sz w:val="22"/>
                <w:szCs w:val="22"/>
              </w:rPr>
              <w:t>tests or exam</w:t>
            </w:r>
            <w:r w:rsidRPr="00AB173D">
              <w:rPr>
                <w:sz w:val="22"/>
                <w:szCs w:val="22"/>
              </w:rPr>
              <w:t xml:space="preserve"> </w:t>
            </w:r>
            <w:r w:rsidR="000D7525">
              <w:rPr>
                <w:sz w:val="22"/>
                <w:szCs w:val="22"/>
              </w:rPr>
              <w:t xml:space="preserve">available </w:t>
            </w:r>
            <w:r w:rsidRPr="00AB173D">
              <w:rPr>
                <w:sz w:val="22"/>
                <w:szCs w:val="22"/>
              </w:rPr>
              <w:t>in this course.</w:t>
            </w:r>
          </w:p>
          <w:p w:rsidR="00E73887" w:rsidRDefault="00E73887" w:rsidP="00E73887">
            <w:pPr>
              <w:ind w:left="360"/>
              <w:rPr>
                <w:sz w:val="22"/>
              </w:rPr>
            </w:pPr>
          </w:p>
          <w:p w:rsidR="00E73887" w:rsidRPr="00E73887" w:rsidRDefault="00E73887" w:rsidP="00E73887">
            <w:pPr>
              <w:numPr>
                <w:ilvl w:val="0"/>
                <w:numId w:val="5"/>
              </w:numPr>
              <w:rPr>
                <w:sz w:val="22"/>
              </w:rPr>
            </w:pPr>
            <w:r>
              <w:rPr>
                <w:sz w:val="22"/>
              </w:rPr>
              <w:t>As</w:t>
            </w:r>
            <w:r w:rsidR="00F356A9">
              <w:rPr>
                <w:sz w:val="22"/>
              </w:rPr>
              <w:t>signments encompass</w:t>
            </w:r>
            <w:r w:rsidR="00A04099">
              <w:rPr>
                <w:sz w:val="22"/>
              </w:rPr>
              <w:t xml:space="preserve"> a variety of</w:t>
            </w:r>
            <w:r w:rsidR="00F356A9">
              <w:rPr>
                <w:sz w:val="22"/>
              </w:rPr>
              <w:t xml:space="preserve"> in-class activities, electronic activities</w:t>
            </w:r>
            <w:r w:rsidR="00B62820">
              <w:rPr>
                <w:sz w:val="22"/>
              </w:rPr>
              <w:t>, reflection</w:t>
            </w:r>
            <w:r w:rsidR="00F356A9">
              <w:rPr>
                <w:sz w:val="22"/>
              </w:rPr>
              <w:t xml:space="preserve"> and journaling</w:t>
            </w:r>
            <w:r w:rsidR="007F50BF">
              <w:rPr>
                <w:sz w:val="22"/>
              </w:rPr>
              <w:t>.</w:t>
            </w:r>
            <w:r w:rsidR="00F356A9">
              <w:rPr>
                <w:sz w:val="22"/>
              </w:rPr>
              <w:t xml:space="preserve"> </w:t>
            </w:r>
          </w:p>
          <w:p w:rsidR="009E1476" w:rsidRPr="00AB173D" w:rsidRDefault="009E1476" w:rsidP="009E1476">
            <w:pPr>
              <w:rPr>
                <w:sz w:val="22"/>
              </w:rPr>
            </w:pPr>
            <w:r w:rsidRPr="00AB173D">
              <w:rPr>
                <w:sz w:val="22"/>
                <w:szCs w:val="22"/>
              </w:rPr>
              <w:t xml:space="preserve">  </w:t>
            </w:r>
          </w:p>
          <w:p w:rsidR="009E1476" w:rsidRPr="00D3447A" w:rsidRDefault="009E1476" w:rsidP="009E1476">
            <w:pPr>
              <w:pStyle w:val="ListParagraph"/>
              <w:numPr>
                <w:ilvl w:val="0"/>
                <w:numId w:val="5"/>
              </w:numPr>
            </w:pPr>
            <w:r w:rsidRPr="00D3447A">
              <w:rPr>
                <w:sz w:val="22"/>
                <w:szCs w:val="22"/>
              </w:rPr>
              <w:t xml:space="preserve">The pass mark for this course is </w:t>
            </w:r>
            <w:r w:rsidRPr="00D3447A">
              <w:rPr>
                <w:b/>
                <w:bCs/>
                <w:sz w:val="22"/>
                <w:szCs w:val="22"/>
              </w:rPr>
              <w:t>60%</w:t>
            </w:r>
            <w:r w:rsidRPr="00D3447A">
              <w:rPr>
                <w:sz w:val="22"/>
                <w:szCs w:val="22"/>
              </w:rPr>
              <w:t xml:space="preserve">.  </w:t>
            </w:r>
          </w:p>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3759A3" w:rsidRDefault="003759A3" w:rsidP="00827CBC">
      <w:pPr>
        <w:rPr>
          <w:sz w:val="22"/>
          <w:szCs w:val="22"/>
        </w:rPr>
      </w:pPr>
    </w:p>
    <w:p w:rsidR="00827CBC" w:rsidRPr="003759A3" w:rsidRDefault="008623F8" w:rsidP="00827CBC">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bookmarkStart w:id="0" w:name="_GoBack"/>
          </w:p>
          <w:p w:rsidR="00856E2B" w:rsidRPr="00856E2B" w:rsidRDefault="00856E2B" w:rsidP="008210C7">
            <w:pPr>
              <w:rPr>
                <w:sz w:val="22"/>
              </w:rPr>
            </w:pPr>
            <w:proofErr w:type="spellStart"/>
            <w:r w:rsidRPr="00856E2B">
              <w:rPr>
                <w:sz w:val="22"/>
                <w:szCs w:val="22"/>
                <w:u w:val="single"/>
              </w:rPr>
              <w:t>LMS</w:t>
            </w:r>
            <w:proofErr w:type="spellEnd"/>
            <w:r w:rsidRPr="00856E2B">
              <w:rPr>
                <w:sz w:val="22"/>
                <w:szCs w:val="22"/>
                <w:u w:val="single"/>
              </w:rPr>
              <w:t xml:space="preserve">/Blackboard </w:t>
            </w:r>
            <w:r>
              <w:rPr>
                <w:sz w:val="22"/>
                <w:szCs w:val="22"/>
                <w:u w:val="single"/>
              </w:rPr>
              <w:t>S</w:t>
            </w:r>
            <w:r w:rsidRPr="00856E2B">
              <w:rPr>
                <w:sz w:val="22"/>
                <w:szCs w:val="22"/>
                <w:u w:val="single"/>
              </w:rPr>
              <w:t>ite</w:t>
            </w:r>
            <w:r>
              <w:rPr>
                <w:sz w:val="22"/>
                <w:szCs w:val="22"/>
              </w:rPr>
              <w:t>:</w:t>
            </w:r>
            <w:r w:rsidRPr="00856E2B">
              <w:rPr>
                <w:sz w:val="22"/>
                <w:szCs w:val="22"/>
              </w:rPr>
              <w:t xml:space="preserve"> </w:t>
            </w:r>
          </w:p>
          <w:p w:rsidR="00533A7C" w:rsidRDefault="00533A7C" w:rsidP="008210C7">
            <w:pPr>
              <w:rPr>
                <w:sz w:val="22"/>
              </w:rPr>
            </w:pPr>
            <w:r>
              <w:rPr>
                <w:sz w:val="22"/>
                <w:szCs w:val="22"/>
              </w:rPr>
              <w:t xml:space="preserve">This course’s </w:t>
            </w:r>
            <w:proofErr w:type="spellStart"/>
            <w:r>
              <w:rPr>
                <w:sz w:val="22"/>
                <w:szCs w:val="22"/>
              </w:rPr>
              <w:t>LMS</w:t>
            </w:r>
            <w:proofErr w:type="spellEnd"/>
            <w:r>
              <w:rPr>
                <w:sz w:val="22"/>
                <w:szCs w:val="22"/>
              </w:rP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bookmarkEnd w:id="0"/>
          </w:p>
          <w:p w:rsidR="00856E2B" w:rsidRDefault="00856E2B" w:rsidP="008210C7">
            <w:pPr>
              <w:rPr>
                <w:sz w:val="22"/>
              </w:rPr>
            </w:pPr>
          </w:p>
          <w:p w:rsidR="00856E2B" w:rsidRPr="00856E2B" w:rsidRDefault="00856E2B" w:rsidP="00856E2B">
            <w:pPr>
              <w:pStyle w:val="Footer"/>
              <w:tabs>
                <w:tab w:val="clear" w:pos="4320"/>
                <w:tab w:val="clear" w:pos="8640"/>
              </w:tabs>
              <w:rPr>
                <w:szCs w:val="22"/>
              </w:rPr>
            </w:pPr>
            <w:r w:rsidRPr="00856E2B">
              <w:rPr>
                <w:szCs w:val="22"/>
                <w:u w:val="single"/>
              </w:rPr>
              <w:t>Cell Phones</w:t>
            </w:r>
            <w:r w:rsidRPr="00856E2B">
              <w:rPr>
                <w:szCs w:val="22"/>
              </w:rPr>
              <w:t>:</w:t>
            </w:r>
          </w:p>
          <w:p w:rsidR="00856E2B" w:rsidRPr="00856E2B" w:rsidRDefault="00856E2B" w:rsidP="00856E2B">
            <w:pPr>
              <w:rPr>
                <w:sz w:val="22"/>
              </w:rPr>
            </w:pPr>
            <w:r w:rsidRPr="00856E2B">
              <w:rPr>
                <w:sz w:val="22"/>
                <w:szCs w:val="22"/>
              </w:rPr>
              <w:t>Cell phones must be tu</w:t>
            </w:r>
            <w:r w:rsidRPr="00856E2B">
              <w:rPr>
                <w:rFonts w:ascii="Times New Roman" w:hAnsi="Times New Roman"/>
                <w:sz w:val="22"/>
                <w:szCs w:val="22"/>
              </w:rPr>
              <w:t>r</w:t>
            </w:r>
            <w:r w:rsidRPr="00856E2B">
              <w:rPr>
                <w:sz w:val="22"/>
                <w:szCs w:val="22"/>
              </w:rPr>
              <w:t xml:space="preserve">ned off during class time and on test days.  </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67" w:rsidRDefault="00D40E67" w:rsidP="000B6078">
      <w:r>
        <w:separator/>
      </w:r>
    </w:p>
  </w:endnote>
  <w:endnote w:type="continuationSeparator" w:id="1">
    <w:p w:rsidR="00D40E67" w:rsidRDefault="00D40E67"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67" w:rsidRDefault="00D40E67" w:rsidP="000B6078">
      <w:r>
        <w:separator/>
      </w:r>
    </w:p>
  </w:footnote>
  <w:footnote w:type="continuationSeparator" w:id="1">
    <w:p w:rsidR="00D40E67" w:rsidRDefault="00D40E67"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67" w:rsidRDefault="00AE30E7">
    <w:pPr>
      <w:pStyle w:val="Header"/>
      <w:framePr w:wrap="around" w:vAnchor="text" w:hAnchor="margin" w:xAlign="center" w:y="1"/>
      <w:rPr>
        <w:rStyle w:val="PageNumber"/>
      </w:rPr>
    </w:pPr>
    <w:r>
      <w:rPr>
        <w:rStyle w:val="PageNumber"/>
      </w:rPr>
      <w:fldChar w:fldCharType="begin"/>
    </w:r>
    <w:r w:rsidR="00D40E67">
      <w:rPr>
        <w:rStyle w:val="PageNumber"/>
      </w:rPr>
      <w:instrText xml:space="preserve">PAGE  </w:instrText>
    </w:r>
    <w:r>
      <w:rPr>
        <w:rStyle w:val="PageNumber"/>
      </w:rPr>
      <w:fldChar w:fldCharType="separate"/>
    </w:r>
    <w:r w:rsidR="00D40E67">
      <w:rPr>
        <w:rStyle w:val="PageNumber"/>
        <w:noProof/>
      </w:rPr>
      <w:t>1</w:t>
    </w:r>
    <w:r>
      <w:rPr>
        <w:rStyle w:val="PageNumber"/>
      </w:rPr>
      <w:fldChar w:fldCharType="end"/>
    </w:r>
  </w:p>
  <w:p w:rsidR="00D40E67" w:rsidRDefault="00D40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67" w:rsidRDefault="00AE30E7">
    <w:pPr>
      <w:pStyle w:val="Header"/>
      <w:framePr w:wrap="around" w:vAnchor="text" w:hAnchor="margin" w:xAlign="center" w:y="1"/>
      <w:rPr>
        <w:rStyle w:val="PageNumber"/>
        <w:b/>
        <w:bCs/>
      </w:rPr>
    </w:pPr>
    <w:r>
      <w:rPr>
        <w:rStyle w:val="PageNumber"/>
        <w:b/>
        <w:bCs/>
      </w:rPr>
      <w:fldChar w:fldCharType="begin"/>
    </w:r>
    <w:r w:rsidR="00D40E67">
      <w:rPr>
        <w:rStyle w:val="PageNumber"/>
        <w:b/>
        <w:bCs/>
      </w:rPr>
      <w:instrText xml:space="preserve">PAGE  </w:instrText>
    </w:r>
    <w:r>
      <w:rPr>
        <w:rStyle w:val="PageNumber"/>
        <w:b/>
        <w:bCs/>
      </w:rPr>
      <w:fldChar w:fldCharType="separate"/>
    </w:r>
    <w:r w:rsidR="00B90D96">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D40E67">
      <w:tc>
        <w:tcPr>
          <w:tcW w:w="3794" w:type="dxa"/>
          <w:tcBorders>
            <w:bottom w:val="single" w:sz="4" w:space="0" w:color="auto"/>
          </w:tcBorders>
        </w:tcPr>
        <w:p w:rsidR="00D40E67" w:rsidRDefault="00D40E67">
          <w:pPr>
            <w:rPr>
              <w:b/>
              <w:bCs/>
              <w:snapToGrid w:val="0"/>
            </w:rPr>
          </w:pPr>
          <w:r>
            <w:rPr>
              <w:b/>
              <w:bCs/>
              <w:snapToGrid w:val="0"/>
            </w:rPr>
            <w:t>PROFESSIONAL GROWTH I</w:t>
          </w:r>
        </w:p>
      </w:tc>
      <w:tc>
        <w:tcPr>
          <w:tcW w:w="1134" w:type="dxa"/>
          <w:tcBorders>
            <w:bottom w:val="single" w:sz="4" w:space="0" w:color="auto"/>
          </w:tcBorders>
        </w:tcPr>
        <w:p w:rsidR="00D40E67" w:rsidRDefault="00D40E67">
          <w:pPr>
            <w:pStyle w:val="Header"/>
            <w:jc w:val="center"/>
            <w:rPr>
              <w:rFonts w:ascii="Arial" w:hAnsi="Arial"/>
              <w:b/>
              <w:bCs/>
              <w:snapToGrid w:val="0"/>
              <w:sz w:val="22"/>
            </w:rPr>
          </w:pPr>
        </w:p>
      </w:tc>
      <w:tc>
        <w:tcPr>
          <w:tcW w:w="4540" w:type="dxa"/>
          <w:tcBorders>
            <w:bottom w:val="single" w:sz="4" w:space="0" w:color="auto"/>
          </w:tcBorders>
        </w:tcPr>
        <w:p w:rsidR="00D40E67" w:rsidRDefault="00D40E67"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D40E67">
      <w:tc>
        <w:tcPr>
          <w:tcW w:w="3794" w:type="dxa"/>
          <w:tcBorders>
            <w:top w:val="single" w:sz="4" w:space="0" w:color="auto"/>
          </w:tcBorders>
        </w:tcPr>
        <w:p w:rsidR="00D40E67" w:rsidRDefault="00D40E67">
          <w:pPr>
            <w:rPr>
              <w:b/>
              <w:bCs/>
              <w:snapToGrid w:val="0"/>
            </w:rPr>
          </w:pPr>
          <w:r>
            <w:rPr>
              <w:b/>
              <w:bCs/>
              <w:snapToGrid w:val="0"/>
            </w:rPr>
            <w:t>COURSE NAME</w:t>
          </w:r>
        </w:p>
      </w:tc>
      <w:tc>
        <w:tcPr>
          <w:tcW w:w="1134" w:type="dxa"/>
          <w:tcBorders>
            <w:top w:val="single" w:sz="4" w:space="0" w:color="auto"/>
          </w:tcBorders>
        </w:tcPr>
        <w:p w:rsidR="00D40E67" w:rsidRDefault="00D40E67">
          <w:pPr>
            <w:pStyle w:val="Header"/>
            <w:jc w:val="center"/>
            <w:rPr>
              <w:rFonts w:ascii="Arial" w:hAnsi="Arial"/>
              <w:b/>
              <w:bCs/>
              <w:snapToGrid w:val="0"/>
              <w:sz w:val="22"/>
            </w:rPr>
          </w:pPr>
        </w:p>
      </w:tc>
      <w:tc>
        <w:tcPr>
          <w:tcW w:w="4540" w:type="dxa"/>
          <w:tcBorders>
            <w:top w:val="single" w:sz="4" w:space="0" w:color="auto"/>
          </w:tcBorders>
        </w:tcPr>
        <w:p w:rsidR="00D40E67" w:rsidRDefault="00D40E67">
          <w:pPr>
            <w:pStyle w:val="Header"/>
            <w:jc w:val="right"/>
            <w:rPr>
              <w:rFonts w:ascii="Arial" w:hAnsi="Arial"/>
              <w:b/>
              <w:bCs/>
              <w:snapToGrid w:val="0"/>
              <w:sz w:val="22"/>
            </w:rPr>
          </w:pPr>
          <w:r>
            <w:rPr>
              <w:rFonts w:ascii="Arial" w:hAnsi="Arial"/>
              <w:b/>
              <w:bCs/>
              <w:snapToGrid w:val="0"/>
              <w:sz w:val="22"/>
            </w:rPr>
            <w:t>CODE #</w:t>
          </w:r>
        </w:p>
      </w:tc>
    </w:tr>
  </w:tbl>
  <w:p w:rsidR="00D40E67" w:rsidRDefault="00D40E6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314C2"/>
    <w:rsid w:val="00152574"/>
    <w:rsid w:val="00157893"/>
    <w:rsid w:val="00166137"/>
    <w:rsid w:val="00170A05"/>
    <w:rsid w:val="001B4F8B"/>
    <w:rsid w:val="001D0F25"/>
    <w:rsid w:val="001F0669"/>
    <w:rsid w:val="00255238"/>
    <w:rsid w:val="002A39E2"/>
    <w:rsid w:val="002F5EE6"/>
    <w:rsid w:val="003421CF"/>
    <w:rsid w:val="0035115C"/>
    <w:rsid w:val="003549F8"/>
    <w:rsid w:val="003759A3"/>
    <w:rsid w:val="003D7039"/>
    <w:rsid w:val="00445CC5"/>
    <w:rsid w:val="004C5396"/>
    <w:rsid w:val="004D5E60"/>
    <w:rsid w:val="004F0593"/>
    <w:rsid w:val="004F3385"/>
    <w:rsid w:val="005043CB"/>
    <w:rsid w:val="005046BD"/>
    <w:rsid w:val="0051579E"/>
    <w:rsid w:val="00533A7C"/>
    <w:rsid w:val="0058684C"/>
    <w:rsid w:val="005E3A70"/>
    <w:rsid w:val="00602C63"/>
    <w:rsid w:val="00641A2E"/>
    <w:rsid w:val="006C3E35"/>
    <w:rsid w:val="006C42D8"/>
    <w:rsid w:val="006C4431"/>
    <w:rsid w:val="006F535C"/>
    <w:rsid w:val="007149A3"/>
    <w:rsid w:val="00731DE0"/>
    <w:rsid w:val="007359BC"/>
    <w:rsid w:val="007432A5"/>
    <w:rsid w:val="007443C5"/>
    <w:rsid w:val="00746CAB"/>
    <w:rsid w:val="00763DD4"/>
    <w:rsid w:val="00780AB0"/>
    <w:rsid w:val="007A5DE8"/>
    <w:rsid w:val="007D3025"/>
    <w:rsid w:val="007F50BF"/>
    <w:rsid w:val="00817CF8"/>
    <w:rsid w:val="008210C7"/>
    <w:rsid w:val="00827CBC"/>
    <w:rsid w:val="00856E2B"/>
    <w:rsid w:val="008623F8"/>
    <w:rsid w:val="0087263C"/>
    <w:rsid w:val="008745DC"/>
    <w:rsid w:val="008A26F9"/>
    <w:rsid w:val="008B385E"/>
    <w:rsid w:val="008E38A8"/>
    <w:rsid w:val="008F6B4E"/>
    <w:rsid w:val="00941220"/>
    <w:rsid w:val="00946330"/>
    <w:rsid w:val="0095555A"/>
    <w:rsid w:val="009D0101"/>
    <w:rsid w:val="009E1476"/>
    <w:rsid w:val="00A04099"/>
    <w:rsid w:val="00A354C9"/>
    <w:rsid w:val="00A41C39"/>
    <w:rsid w:val="00A81922"/>
    <w:rsid w:val="00A8283C"/>
    <w:rsid w:val="00AD0C0E"/>
    <w:rsid w:val="00AD713D"/>
    <w:rsid w:val="00AE30E7"/>
    <w:rsid w:val="00B03CCD"/>
    <w:rsid w:val="00B62820"/>
    <w:rsid w:val="00B90D96"/>
    <w:rsid w:val="00BB0166"/>
    <w:rsid w:val="00BD0930"/>
    <w:rsid w:val="00BE4C1A"/>
    <w:rsid w:val="00C445C7"/>
    <w:rsid w:val="00C45AB5"/>
    <w:rsid w:val="00D07A2E"/>
    <w:rsid w:val="00D40E67"/>
    <w:rsid w:val="00D427F5"/>
    <w:rsid w:val="00D927AE"/>
    <w:rsid w:val="00DB29C7"/>
    <w:rsid w:val="00DC0C7B"/>
    <w:rsid w:val="00DD129C"/>
    <w:rsid w:val="00DF468E"/>
    <w:rsid w:val="00DF5D30"/>
    <w:rsid w:val="00E0684B"/>
    <w:rsid w:val="00E60889"/>
    <w:rsid w:val="00E73887"/>
    <w:rsid w:val="00E73ED5"/>
    <w:rsid w:val="00EA64BC"/>
    <w:rsid w:val="00EB1AD6"/>
    <w:rsid w:val="00EE11F1"/>
    <w:rsid w:val="00F3038C"/>
    <w:rsid w:val="00F356A9"/>
    <w:rsid w:val="00F45BD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B8488-AED8-4FB5-B203-33A252D9403B}">
  <ds:schemaRefs>
    <ds:schemaRef ds:uri="http://schemas.openxmlformats.org/officeDocument/2006/bibliography"/>
  </ds:schemaRefs>
</ds:datastoreItem>
</file>

<file path=customXml/itemProps2.xml><?xml version="1.0" encoding="utf-8"?>
<ds:datastoreItem xmlns:ds="http://schemas.openxmlformats.org/officeDocument/2006/customXml" ds:itemID="{98B0B1A8-BAE2-4556-89B7-35794E6D7682}"/>
</file>

<file path=customXml/itemProps3.xml><?xml version="1.0" encoding="utf-8"?>
<ds:datastoreItem xmlns:ds="http://schemas.openxmlformats.org/officeDocument/2006/customXml" ds:itemID="{3D9AD05C-1E19-43A7-AA36-9AD12D578F81}"/>
</file>

<file path=customXml/itemProps4.xml><?xml version="1.0" encoding="utf-8"?>
<ds:datastoreItem xmlns:ds="http://schemas.openxmlformats.org/officeDocument/2006/customXml" ds:itemID="{57020E35-2A75-41EC-95E9-56FB1D44D076}"/>
</file>

<file path=docProps/app.xml><?xml version="1.0" encoding="utf-8"?>
<Properties xmlns="http://schemas.openxmlformats.org/officeDocument/2006/extended-properties" xmlns:vt="http://schemas.openxmlformats.org/officeDocument/2006/docPropsVTypes">
  <Template>Normal.dotm</Template>
  <TotalTime>24</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staffxp</cp:lastModifiedBy>
  <cp:revision>9</cp:revision>
  <cp:lastPrinted>2011-07-15T14:23:00Z</cp:lastPrinted>
  <dcterms:created xsi:type="dcterms:W3CDTF">2011-06-09T19:48:00Z</dcterms:created>
  <dcterms:modified xsi:type="dcterms:W3CDTF">2011-12-19T19:16:00Z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5544600</vt:r8>
  </property>
</Properties>
</file>